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CC6" w:rsidRPr="00062CC6" w:rsidRDefault="00062CC6" w:rsidP="00062CC6">
      <w:pPr>
        <w:pStyle w:val="EndNoteBibliography"/>
        <w:spacing w:line="200" w:lineRule="atLeast"/>
        <w:jc w:val="both"/>
        <w:rPr>
          <w:sz w:val="18"/>
          <w:szCs w:val="18"/>
        </w:rPr>
      </w:pPr>
      <w:r w:rsidRPr="003C40DE">
        <w:rPr>
          <w:sz w:val="18"/>
          <w:szCs w:val="18"/>
        </w:rPr>
        <w:fldChar w:fldCharType="begin"/>
      </w:r>
      <w:r w:rsidRPr="00D0246D">
        <w:rPr>
          <w:sz w:val="18"/>
          <w:szCs w:val="18"/>
        </w:rPr>
        <w:instrText xml:space="preserve"> ADDIN EN.REFLIST </w:instrText>
      </w:r>
      <w:r w:rsidRPr="003C40DE">
        <w:rPr>
          <w:sz w:val="18"/>
          <w:szCs w:val="18"/>
        </w:rPr>
        <w:fldChar w:fldCharType="separate"/>
      </w:r>
      <w:r w:rsidRPr="003C40DE">
        <w:rPr>
          <w:sz w:val="18"/>
          <w:szCs w:val="18"/>
        </w:rPr>
        <w:fldChar w:fldCharType="begin"/>
      </w:r>
      <w:r w:rsidRPr="009B7650">
        <w:rPr>
          <w:sz w:val="18"/>
          <w:szCs w:val="18"/>
        </w:rPr>
        <w:instrText xml:space="preserve"> ADDIN EN.REFLIST </w:instrText>
      </w:r>
      <w:r w:rsidRPr="003C40DE">
        <w:rPr>
          <w:sz w:val="18"/>
          <w:szCs w:val="18"/>
        </w:rPr>
        <w:fldChar w:fldCharType="separate"/>
      </w:r>
      <w:r>
        <w:rPr>
          <w:rFonts w:ascii="Times New Roman" w:hAnsi="Times New Roman" w:cs="Times New Roman"/>
          <w:b/>
          <w:bCs/>
          <w:color w:val="0000FF"/>
          <w:sz w:val="23"/>
          <w:szCs w:val="23"/>
        </w:rPr>
        <w:t>SUPPLEMENTARY DATA</w:t>
      </w:r>
    </w:p>
    <w:p w:rsidR="00062CC6" w:rsidRPr="009B7650" w:rsidRDefault="00062CC6" w:rsidP="00062CC6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062CC6" w:rsidRPr="00D0246D" w:rsidRDefault="00062CC6" w:rsidP="00062CC6">
      <w:pPr>
        <w:spacing w:line="242" w:lineRule="atLeast"/>
        <w:jc w:val="both"/>
        <w:rPr>
          <w:rFonts w:ascii="Calibri" w:hAnsi="Calibri"/>
          <w:sz w:val="18"/>
          <w:szCs w:val="18"/>
        </w:rPr>
      </w:pPr>
      <w:r w:rsidRPr="009B7650">
        <w:rPr>
          <w:rFonts w:ascii="Calibri" w:hAnsi="Calibri"/>
          <w:sz w:val="18"/>
          <w:szCs w:val="18"/>
        </w:rPr>
        <w:fldChar w:fldCharType="end"/>
      </w:r>
    </w:p>
    <w:p w:rsidR="00062CC6" w:rsidRDefault="00062CC6" w:rsidP="00062CC6">
      <w:pPr>
        <w:spacing w:line="242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.8pt;width:567.35pt;height:546.75pt;z-index:251661312;mso-position-horizontal:center;mso-position-horizontal-relative:margin;mso-width-relative:margin;mso-height-relative:margin" stroked="f">
            <v:textbox>
              <w:txbxContent>
                <w:p w:rsidR="00062CC6" w:rsidRDefault="00062CC6" w:rsidP="00062CC6">
                  <w:r>
                    <w:rPr>
                      <w:noProof/>
                    </w:rPr>
                    <w:drawing>
                      <wp:inline distT="0" distB="0" distL="0" distR="0">
                        <wp:extent cx="7040880" cy="6838504"/>
                        <wp:effectExtent l="19050" t="0" r="7620" b="0"/>
                        <wp:docPr id="165" name="Picture 140" descr="Figu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0880" cy="6838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Pr="00D0246D">
        <w:rPr>
          <w:rFonts w:ascii="Calibri" w:hAnsi="Calibri"/>
          <w:sz w:val="18"/>
          <w:szCs w:val="18"/>
        </w:rPr>
        <w:fldChar w:fldCharType="end"/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28" type="#_x0000_t202" style="position:absolute;left:0;text-align:left;margin-left:49.2pt;margin-top:625.75pt;width:446.4pt;height:34.45pt;z-index:251662336;mso-position-horizontal-relative:margin;mso-position-vertical-relative:margin;mso-width-relative:margin;mso-height-relative:margin" stroked="f">
            <v:textbox inset="0,0,0,0">
              <w:txbxContent>
                <w:p w:rsidR="00062CC6" w:rsidRPr="00D50210" w:rsidRDefault="00062CC6" w:rsidP="00062CC6">
                  <w:pPr>
                    <w:tabs>
                      <w:tab w:val="left" w:pos="360"/>
                    </w:tabs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D50210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Figure S1. </w:t>
                  </w:r>
                  <w:proofErr w:type="gramStart"/>
                  <w:r w:rsidRPr="00D50210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Tissue-specific mRNA expression of SOD2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Shown is mRNA expression of SOD2 in different mouse tissues. Data are generated from </w:t>
                  </w:r>
                  <w:proofErr w:type="spellStart"/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BioGPS</w:t>
                  </w:r>
                  <w:proofErr w:type="spellEnd"/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(www.biogps.org).</w:t>
                  </w:r>
                </w:p>
                <w:p w:rsidR="00062CC6" w:rsidRDefault="00062CC6" w:rsidP="00062CC6"/>
              </w:txbxContent>
            </v:textbox>
            <w10:wrap anchorx="margin" anchory="margin"/>
          </v:shape>
        </w:pict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4" type="#_x0000_t202" style="position:absolute;left:0;text-align:left;margin-left:0;margin-top:682.6pt;width:511.05pt;height:54pt;z-index:251668480;visibility:visible;mso-position-horizontal:center;mso-position-horizontal-relative:margin;mso-position-vertical-relative:margin" filled="f" stroked="f">
            <v:textbox inset="0,0,0,0">
              <w:txbxContent>
                <w:p w:rsidR="00062CC6" w:rsidRDefault="00062CC6" w:rsidP="00062CC6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062CC6" w:rsidRDefault="00062CC6" w:rsidP="00062CC6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062CC6" w:rsidRDefault="00062CC6" w:rsidP="00062CC6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lastRenderedPageBreak/>
        <w:pict>
          <v:shape id="_x0000_s1029" type="#_x0000_t202" style="position:absolute;left:0;text-align:left;margin-left:0;margin-top:.4pt;width:412.6pt;height:374.95pt;z-index:251663360;mso-position-horizontal:center;mso-position-horizontal-relative:margin;mso-width-relative:margin;mso-height-relative:margin" stroked="f">
            <v:textbox>
              <w:txbxContent>
                <w:p w:rsidR="00062CC6" w:rsidRDefault="00062CC6" w:rsidP="00062CC6">
                  <w:r>
                    <w:rPr>
                      <w:noProof/>
                    </w:rPr>
                    <w:drawing>
                      <wp:inline distT="0" distB="0" distL="0" distR="0">
                        <wp:extent cx="5029200" cy="4724466"/>
                        <wp:effectExtent l="19050" t="0" r="0" b="0"/>
                        <wp:docPr id="200" name="Picture 181" descr="Figu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0" cy="47244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1" type="#_x0000_t202" style="position:absolute;left:0;text-align:left;margin-left:0;margin-top:401.15pt;width:417.6pt;height:51.8pt;z-index:251665408;mso-position-horizontal:center;mso-position-horizontal-relative:margin;mso-position-vertical-relative:margin;mso-width-relative:margin;mso-height-relative:margin" stroked="f">
            <v:textbox inset="0,0,0,0">
              <w:txbxContent>
                <w:p w:rsidR="00062CC6" w:rsidRPr="00D50210" w:rsidRDefault="00062CC6" w:rsidP="00062CC6">
                  <w:pPr>
                    <w:jc w:val="both"/>
                    <w:rPr>
                      <w:sz w:val="18"/>
                      <w:szCs w:val="18"/>
                    </w:rPr>
                  </w:pPr>
                  <w:r w:rsidRPr="00D50210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Figure S2. Overall survival (OS) and relapse-free survival (RFS) in advanced HCC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D50210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patients with different SOD2 protein expression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.  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The OS and RFS of 160 HCC patients with SOD2 high expression and low expression are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analyzed in (</w:t>
                  </w:r>
                  <w:r w:rsidRPr="00D50210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a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) patients with high AFP level (&gt; 400 </w:t>
                  </w:r>
                  <w:proofErr w:type="spellStart"/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ng</w:t>
                  </w:r>
                  <w:proofErr w:type="spellEnd"/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/</w:t>
                  </w:r>
                  <w:proofErr w:type="spellStart"/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μl</w:t>
                  </w:r>
                  <w:proofErr w:type="spellEnd"/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), (</w:t>
                  </w:r>
                  <w:r w:rsidRPr="00D50210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b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) patients without tumor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embolus, (</w:t>
                  </w:r>
                  <w:r w:rsidRPr="00D50210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c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) patients with tumor size &lt; 5cm, (</w:t>
                  </w:r>
                  <w:r w:rsidRPr="00D50210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d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) patients no liver cirrhosis, (</w:t>
                  </w:r>
                  <w:r w:rsidRPr="00D50210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e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) patients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D50210">
                    <w:rPr>
                      <w:rFonts w:ascii="Calibri" w:hAnsi="Calibri"/>
                      <w:bCs/>
                      <w:sz w:val="18"/>
                      <w:szCs w:val="18"/>
                    </w:rPr>
                    <w:t>with tumor differentiation III+IV.</w:t>
                  </w:r>
                </w:p>
              </w:txbxContent>
            </v:textbox>
            <w10:wrap anchorx="margin" anchory="margin"/>
          </v:shape>
        </w:pict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5" type="#_x0000_t202" style="position:absolute;left:0;text-align:left;margin-left:0;margin-top:683.25pt;width:511.05pt;height:54pt;z-index:251669504;visibility:visible;mso-position-horizontal:center;mso-position-horizontal-relative:margin;mso-position-vertical-relative:margin" filled="f" stroked="f">
            <v:textbox inset="0,0,0,0">
              <w:txbxContent>
                <w:p w:rsidR="00062CC6" w:rsidRDefault="00062CC6" w:rsidP="00062CC6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062CC6" w:rsidRDefault="00062CC6" w:rsidP="00062CC6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062CC6" w:rsidRDefault="00062CC6" w:rsidP="00062CC6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lastRenderedPageBreak/>
        <w:pict>
          <v:shape id="_x0000_s1030" type="#_x0000_t202" style="position:absolute;left:0;text-align:left;margin-left:0;margin-top:0;width:381.65pt;height:361.05pt;z-index:251664384;mso-position-horizontal:center;mso-position-horizontal-relative:margin;mso-position-vertical:top;mso-position-vertical-relative:margin;mso-width-relative:margin;mso-height-relative:margin">
            <v:textbox>
              <w:txbxContent>
                <w:p w:rsidR="00062CC6" w:rsidRDefault="00062CC6" w:rsidP="00062CC6">
                  <w:r>
                    <w:rPr>
                      <w:noProof/>
                    </w:rPr>
                    <w:drawing>
                      <wp:inline distT="0" distB="0" distL="0" distR="0">
                        <wp:extent cx="4572000" cy="4445508"/>
                        <wp:effectExtent l="19050" t="0" r="0" b="0"/>
                        <wp:docPr id="261" name="Picture 210" descr="Tabl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bleS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445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062CC6" w:rsidRDefault="00062CC6" w:rsidP="00062CC6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062CC6" w:rsidRDefault="00062CC6" w:rsidP="00062CC6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062CC6" w:rsidRDefault="00062CC6" w:rsidP="00062CC6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062CC6" w:rsidRPr="00993130" w:rsidRDefault="00062CC6" w:rsidP="00062CC6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062CC6" w:rsidRPr="00A10965" w:rsidRDefault="00062CC6" w:rsidP="00062CC6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 w:rsidRPr="003C40DE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Text Box 1024" o:spid="_x0000_s1026" type="#_x0000_t202" style="position:absolute;left:0;text-align:left;margin-left:11.85pt;margin-top:679.75pt;width:511.05pt;height:54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3Ytg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" filled="f" stroked="f">
            <v:textbox inset="0,0,0,0">
              <w:txbxContent>
                <w:p w:rsidR="00062CC6" w:rsidRDefault="00062CC6" w:rsidP="00062CC6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062CC6" w:rsidRDefault="00062CC6" w:rsidP="00062CC6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062CC6" w:rsidRDefault="00062CC6" w:rsidP="00062CC6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    </w:t>
                  </w:r>
                  <w:bookmarkStart w:id="0" w:name="_GoBack"/>
                  <w:bookmarkEnd w:id="0"/>
                  <w:r>
                    <w:rPr>
                      <w:rFonts w:ascii="Calibri" w:hAnsi="Calibri" w:cs="Calibri"/>
                    </w:rPr>
                    <w:t xml:space="preserve">   </w:t>
                  </w:r>
                  <w:r>
                    <w:rPr>
                      <w:rFonts w:ascii="Calibri" w:hAnsi="Calibri" w:cs="Calibri"/>
                    </w:rPr>
                    <w:t xml:space="preserve">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B05359" w:rsidRDefault="00DD16E2"/>
    <w:sectPr w:rsidR="00B05359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62CC6"/>
    <w:rsid w:val="00062CC6"/>
    <w:rsid w:val="00370D7F"/>
    <w:rsid w:val="00695807"/>
    <w:rsid w:val="007F38DD"/>
    <w:rsid w:val="00820A8F"/>
    <w:rsid w:val="00B50715"/>
    <w:rsid w:val="00DD1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C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62CC6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customStyle="1" w:styleId="EndNoteBibliography">
    <w:name w:val="EndNote Bibliography"/>
    <w:basedOn w:val="Normal"/>
    <w:link w:val="EndNoteBibliographyCar"/>
    <w:rsid w:val="00062CC6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062CC6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C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C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2016-05-24T13:54:00Z</dcterms:created>
  <dcterms:modified xsi:type="dcterms:W3CDTF">2016-05-24T13:56:00Z</dcterms:modified>
</cp:coreProperties>
</file>