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F91" w:rsidRDefault="00CF2F91" w:rsidP="00CF2F91">
      <w:pPr>
        <w:pStyle w:val="berschrift3"/>
      </w:pPr>
      <w:bookmarkStart w:id="0" w:name="_Toc430256867"/>
      <w:r w:rsidRPr="00FB19D1">
        <w:t>Supplementa</w:t>
      </w:r>
      <w:r>
        <w:t>l</w:t>
      </w:r>
      <w:r w:rsidRPr="00FB19D1">
        <w:t xml:space="preserve"> Figures</w:t>
      </w:r>
      <w:bookmarkEnd w:id="0"/>
    </w:p>
    <w:p w:rsidR="00F31B2E" w:rsidRDefault="00F31B2E" w:rsidP="00F31B2E">
      <w:r>
        <w:rPr>
          <w:noProof/>
          <w:lang w:eastAsia="en-GB"/>
        </w:rPr>
        <w:drawing>
          <wp:inline distT="0" distB="0" distL="0" distR="0">
            <wp:extent cx="5760720" cy="46990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EdU_Dapi_10Gy_t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699000"/>
                    </a:xfrm>
                    <a:prstGeom prst="rect">
                      <a:avLst/>
                    </a:prstGeom>
                  </pic:spPr>
                </pic:pic>
              </a:graphicData>
            </a:graphic>
          </wp:inline>
        </w:drawing>
      </w:r>
    </w:p>
    <w:p w:rsidR="00F31B2E" w:rsidRPr="004F32CD" w:rsidRDefault="00F31B2E" w:rsidP="00F31B2E">
      <w:r>
        <w:rPr>
          <w:b/>
        </w:rPr>
        <w:t>Figure S5</w:t>
      </w:r>
      <w:r>
        <w:t xml:space="preserve">: Time series of EdU incorporation, DNA content and senescence-associated </w:t>
      </w:r>
      <w:r w:rsidRPr="000639CD">
        <w:rPr>
          <w:rFonts w:ascii="Symbol" w:hAnsi="Symbol"/>
        </w:rPr>
        <w:t></w:t>
      </w:r>
      <w:r>
        <w:t>-galactosidase activity (SA-</w:t>
      </w:r>
      <w:r w:rsidRPr="009212F7">
        <w:rPr>
          <w:rFonts w:ascii="Symbol" w:hAnsi="Symbol"/>
        </w:rPr>
        <w:t></w:t>
      </w:r>
      <w:r>
        <w:t>G) after 10 Gy IR in MRC5 primary human fibroblasts. Left panel: EdU incorporation vs. DNA content; centre panel: DNA content with indicated percentages of G1, S and G2/M phase cells; left panel: DNA content vs. SA-</w:t>
      </w:r>
      <w:r w:rsidRPr="009212F7">
        <w:rPr>
          <w:rFonts w:ascii="Symbol" w:hAnsi="Symbol"/>
        </w:rPr>
        <w:t></w:t>
      </w:r>
      <w:r>
        <w:t xml:space="preserve">G. </w:t>
      </w:r>
      <w:r w:rsidRPr="00192069">
        <w:rPr>
          <w:b/>
        </w:rPr>
        <w:t>A</w:t>
      </w:r>
      <w:r>
        <w:t xml:space="preserve">) Control, </w:t>
      </w:r>
      <w:r w:rsidRPr="00192069">
        <w:rPr>
          <w:b/>
        </w:rPr>
        <w:t>B</w:t>
      </w:r>
      <w:r>
        <w:t xml:space="preserve">) 3 days after 10 Gy IR, </w:t>
      </w:r>
      <w:r w:rsidRPr="00192069">
        <w:rPr>
          <w:b/>
        </w:rPr>
        <w:t>C</w:t>
      </w:r>
      <w:r>
        <w:t>) 7 days after 10 Gy IR.</w:t>
      </w:r>
    </w:p>
    <w:p w:rsidR="00F31B2E" w:rsidRPr="00F31B2E" w:rsidRDefault="00F31B2E" w:rsidP="00F31B2E"/>
    <w:p w:rsidR="00CF2F91" w:rsidRDefault="00CF2F91" w:rsidP="00CF2F91">
      <w:pPr>
        <w:spacing w:after="0" w:line="240" w:lineRule="auto"/>
      </w:pPr>
      <w:r>
        <w:rPr>
          <w:noProof/>
          <w:lang w:eastAsia="en-GB"/>
        </w:rPr>
        <w:lastRenderedPageBreak/>
        <w:drawing>
          <wp:inline distT="0" distB="0" distL="0" distR="0">
            <wp:extent cx="5274310" cy="6126480"/>
            <wp:effectExtent l="0" t="0" r="254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9_Western_Blot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126480"/>
                    </a:xfrm>
                    <a:prstGeom prst="rect">
                      <a:avLst/>
                    </a:prstGeom>
                  </pic:spPr>
                </pic:pic>
              </a:graphicData>
            </a:graphic>
          </wp:inline>
        </w:drawing>
      </w:r>
    </w:p>
    <w:p w:rsidR="004F4649" w:rsidRDefault="00CF2F91" w:rsidP="00CF2F91">
      <w:pPr>
        <w:rPr>
          <w:szCs w:val="24"/>
        </w:rPr>
      </w:pPr>
      <w:r w:rsidRPr="009D521F">
        <w:rPr>
          <w:b/>
          <w:szCs w:val="24"/>
        </w:rPr>
        <w:t>Figure S</w:t>
      </w:r>
      <w:r w:rsidR="00F31B2E">
        <w:rPr>
          <w:b/>
          <w:szCs w:val="24"/>
        </w:rPr>
        <w:t>6</w:t>
      </w:r>
      <w:r>
        <w:rPr>
          <w:szCs w:val="24"/>
        </w:rPr>
        <w:t>: Representative Western Blots of irradiated MRC5 cells after recovery from 2.5 and 10 Gy IR for 0-7 days.</w:t>
      </w:r>
    </w:p>
    <w:p w:rsidR="004F4649" w:rsidRDefault="004F4649" w:rsidP="004F4649">
      <w:r>
        <w:br w:type="page"/>
      </w:r>
    </w:p>
    <w:p w:rsidR="00CF2F91" w:rsidRDefault="00CF2F91" w:rsidP="00CF2F91">
      <w:pPr>
        <w:rPr>
          <w:szCs w:val="24"/>
        </w:rPr>
      </w:pPr>
    </w:p>
    <w:p w:rsidR="00CF2F91" w:rsidRDefault="000D74B9" w:rsidP="00CF2F91">
      <w:pPr>
        <w:spacing w:after="0"/>
        <w:rPr>
          <w:szCs w:val="24"/>
        </w:rPr>
      </w:pPr>
      <w:r>
        <w:rPr>
          <w:noProof/>
          <w:szCs w:val="24"/>
          <w:lang w:eastAsia="en-GB"/>
        </w:rPr>
        <w:drawing>
          <wp:inline distT="0" distB="0" distL="0" distR="0">
            <wp:extent cx="3314700" cy="232569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7_Switchpoints_Histo.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2325692"/>
                    </a:xfrm>
                    <a:prstGeom prst="rect">
                      <a:avLst/>
                    </a:prstGeom>
                  </pic:spPr>
                </pic:pic>
              </a:graphicData>
            </a:graphic>
          </wp:inline>
        </w:drawing>
      </w:r>
    </w:p>
    <w:p w:rsidR="00CF2F91" w:rsidRDefault="00CF2F91" w:rsidP="00CF2F91">
      <w:pPr>
        <w:rPr>
          <w:szCs w:val="24"/>
        </w:rPr>
      </w:pPr>
      <w:r w:rsidRPr="009D521F">
        <w:rPr>
          <w:b/>
          <w:szCs w:val="24"/>
        </w:rPr>
        <w:t>Figure S</w:t>
      </w:r>
      <w:r w:rsidR="00F31B2E">
        <w:rPr>
          <w:b/>
          <w:szCs w:val="24"/>
        </w:rPr>
        <w:t>7</w:t>
      </w:r>
      <w:r>
        <w:rPr>
          <w:szCs w:val="24"/>
        </w:rPr>
        <w:t xml:space="preserve">: Histogram of switching points of the bistable region of </w:t>
      </w:r>
      <w:r w:rsidRPr="009D521F">
        <w:rPr>
          <w:i/>
          <w:szCs w:val="24"/>
        </w:rPr>
        <w:t>CycECdk2-</w:t>
      </w:r>
      <w:proofErr w:type="gramStart"/>
      <w:r w:rsidRPr="009D521F">
        <w:rPr>
          <w:i/>
          <w:szCs w:val="24"/>
        </w:rPr>
        <w:t>a</w:t>
      </w:r>
      <w:r>
        <w:rPr>
          <w:szCs w:val="24"/>
        </w:rPr>
        <w:t xml:space="preserve"> steady</w:t>
      </w:r>
      <w:proofErr w:type="gramEnd"/>
      <w:r>
        <w:rPr>
          <w:szCs w:val="24"/>
        </w:rPr>
        <w:t xml:space="preserve"> states (Figure 4F) for the Monte-Carlo analysis, i.e. values of DDR corresponding to the minimum of the lower stable branch and the maximum of the upper stable branch, respectively. In case the number of </w:t>
      </w:r>
      <w:r w:rsidRPr="00AD32EF">
        <w:rPr>
          <w:rFonts w:ascii="Symbol" w:hAnsi="Symbol"/>
          <w:szCs w:val="24"/>
        </w:rPr>
        <w:t></w:t>
      </w:r>
      <w:r>
        <w:rPr>
          <w:szCs w:val="24"/>
        </w:rPr>
        <w:t xml:space="preserve">H2AX foci is lower than the minimum of the lower branch, the steady state switches to the upper stable branch, and if the number of </w:t>
      </w:r>
      <w:r w:rsidRPr="00AD32EF">
        <w:rPr>
          <w:rFonts w:ascii="Symbol" w:hAnsi="Symbol"/>
          <w:szCs w:val="24"/>
        </w:rPr>
        <w:t></w:t>
      </w:r>
      <w:r>
        <w:rPr>
          <w:szCs w:val="24"/>
        </w:rPr>
        <w:t>H2AX foci is higher than the maximum of the upper branch, the steady state switches to the lower stable branch.</w:t>
      </w:r>
    </w:p>
    <w:p w:rsidR="001F267A" w:rsidRDefault="00346BE0" w:rsidP="001F267A">
      <w:pPr>
        <w:spacing w:after="0"/>
        <w:rPr>
          <w:szCs w:val="24"/>
        </w:rPr>
      </w:pPr>
      <w:r>
        <w:rPr>
          <w:noProof/>
          <w:szCs w:val="24"/>
          <w:lang w:eastAsia="en-GB"/>
        </w:rPr>
        <w:lastRenderedPageBreak/>
        <w:drawing>
          <wp:inline distT="0" distB="0" distL="0" distR="0">
            <wp:extent cx="5760720" cy="6511925"/>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 and p16 siRNA supplementary-new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511925"/>
                    </a:xfrm>
                    <a:prstGeom prst="rect">
                      <a:avLst/>
                    </a:prstGeom>
                  </pic:spPr>
                </pic:pic>
              </a:graphicData>
            </a:graphic>
          </wp:inline>
        </w:drawing>
      </w:r>
    </w:p>
    <w:p w:rsidR="00F31B2E" w:rsidRDefault="00F31B2E" w:rsidP="001F267A">
      <w:pPr>
        <w:autoSpaceDE w:val="0"/>
        <w:autoSpaceDN w:val="0"/>
        <w:adjustRightInd w:val="0"/>
        <w:rPr>
          <w:b/>
          <w:szCs w:val="24"/>
        </w:rPr>
      </w:pPr>
    </w:p>
    <w:p w:rsidR="00B842BD" w:rsidRDefault="00B842BD" w:rsidP="00B842BD">
      <w:pPr>
        <w:autoSpaceDE w:val="0"/>
        <w:autoSpaceDN w:val="0"/>
        <w:adjustRightInd w:val="0"/>
        <w:rPr>
          <w:szCs w:val="24"/>
        </w:rPr>
      </w:pPr>
      <w:r w:rsidRPr="009D521F">
        <w:rPr>
          <w:b/>
          <w:szCs w:val="24"/>
        </w:rPr>
        <w:t xml:space="preserve">Figure </w:t>
      </w:r>
      <w:r>
        <w:rPr>
          <w:b/>
          <w:szCs w:val="24"/>
        </w:rPr>
        <w:t>S8</w:t>
      </w:r>
      <w:r>
        <w:rPr>
          <w:szCs w:val="24"/>
        </w:rPr>
        <w:t>: p21 and p16 silencing 11 days</w:t>
      </w:r>
      <w:r w:rsidRPr="00A4569B">
        <w:rPr>
          <w:szCs w:val="24"/>
        </w:rPr>
        <w:t xml:space="preserve"> </w:t>
      </w:r>
      <w:r>
        <w:rPr>
          <w:szCs w:val="24"/>
        </w:rPr>
        <w:t xml:space="preserve">after IR with sample collection 2 days later (13d).  </w:t>
      </w:r>
      <w:r w:rsidRPr="008666DA">
        <w:rPr>
          <w:b/>
          <w:szCs w:val="24"/>
        </w:rPr>
        <w:t>A</w:t>
      </w:r>
      <w:r>
        <w:rPr>
          <w:szCs w:val="24"/>
        </w:rPr>
        <w:t xml:space="preserve">) </w:t>
      </w:r>
      <w:proofErr w:type="gramStart"/>
      <w:r>
        <w:rPr>
          <w:szCs w:val="24"/>
        </w:rPr>
        <w:t>relative</w:t>
      </w:r>
      <w:proofErr w:type="gramEnd"/>
      <w:r>
        <w:rPr>
          <w:szCs w:val="24"/>
        </w:rPr>
        <w:t xml:space="preserve"> p21 levels. </w:t>
      </w:r>
      <w:r w:rsidRPr="008666DA">
        <w:rPr>
          <w:b/>
          <w:szCs w:val="24"/>
        </w:rPr>
        <w:t>B</w:t>
      </w:r>
      <w:r>
        <w:rPr>
          <w:szCs w:val="24"/>
        </w:rPr>
        <w:t xml:space="preserve">) </w:t>
      </w:r>
      <w:proofErr w:type="gramStart"/>
      <w:r>
        <w:rPr>
          <w:szCs w:val="24"/>
        </w:rPr>
        <w:t>relative</w:t>
      </w:r>
      <w:proofErr w:type="gramEnd"/>
      <w:r>
        <w:rPr>
          <w:szCs w:val="24"/>
        </w:rPr>
        <w:t xml:space="preserve"> p16 levels. </w:t>
      </w:r>
      <w:r w:rsidRPr="008666DA">
        <w:rPr>
          <w:b/>
          <w:szCs w:val="24"/>
        </w:rPr>
        <w:t>C</w:t>
      </w:r>
      <w:r>
        <w:rPr>
          <w:szCs w:val="24"/>
        </w:rPr>
        <w:t xml:space="preserve">) </w:t>
      </w:r>
      <w:proofErr w:type="gramStart"/>
      <w:r>
        <w:rPr>
          <w:szCs w:val="24"/>
        </w:rPr>
        <w:t>relative</w:t>
      </w:r>
      <w:proofErr w:type="gramEnd"/>
      <w:r>
        <w:rPr>
          <w:szCs w:val="24"/>
        </w:rPr>
        <w:t xml:space="preserve"> Cdk2 levels. All values are scaled to day 0. </w:t>
      </w:r>
      <w:r w:rsidRPr="00B15BBA">
        <w:rPr>
          <w:b/>
          <w:szCs w:val="24"/>
        </w:rPr>
        <w:t>D</w:t>
      </w:r>
      <w:r>
        <w:rPr>
          <w:szCs w:val="24"/>
        </w:rPr>
        <w:t xml:space="preserve">) </w:t>
      </w:r>
      <w:proofErr w:type="gramStart"/>
      <w:r>
        <w:rPr>
          <w:szCs w:val="24"/>
        </w:rPr>
        <w:t>relative</w:t>
      </w:r>
      <w:proofErr w:type="gramEnd"/>
      <w:r>
        <w:rPr>
          <w:szCs w:val="24"/>
        </w:rPr>
        <w:t xml:space="preserve"> EdU incorporation. </w:t>
      </w:r>
      <w:r>
        <w:t xml:space="preserve">Error bars indicate standard error of the mean (SEM) (n≥3). </w:t>
      </w:r>
      <w:r>
        <w:rPr>
          <w:b/>
          <w:szCs w:val="24"/>
        </w:rPr>
        <w:t>E</w:t>
      </w:r>
      <w:r w:rsidR="0002523A">
        <w:rPr>
          <w:szCs w:val="24"/>
        </w:rPr>
        <w:t>) R</w:t>
      </w:r>
      <w:r>
        <w:rPr>
          <w:szCs w:val="24"/>
        </w:rPr>
        <w:t>epresentative western blot demonstrating validation of the p21 and p16 silencing  in irradiated MRC5 cells (10 Gy).</w:t>
      </w:r>
    </w:p>
    <w:p w:rsidR="001F267A" w:rsidRDefault="001F267A" w:rsidP="00CF2F91">
      <w:pPr>
        <w:rPr>
          <w:szCs w:val="24"/>
        </w:rPr>
      </w:pPr>
    </w:p>
    <w:p w:rsidR="00CF2F91" w:rsidRDefault="00CF2F91" w:rsidP="00CF2F91">
      <w:pPr>
        <w:autoSpaceDE w:val="0"/>
        <w:autoSpaceDN w:val="0"/>
        <w:adjustRightInd w:val="0"/>
        <w:rPr>
          <w:szCs w:val="24"/>
        </w:rPr>
      </w:pPr>
    </w:p>
    <w:p w:rsidR="00CF2F91" w:rsidRDefault="008415F4" w:rsidP="008415F4">
      <w:pPr>
        <w:autoSpaceDE w:val="0"/>
        <w:autoSpaceDN w:val="0"/>
        <w:adjustRightInd w:val="0"/>
        <w:spacing w:line="240" w:lineRule="auto"/>
        <w:rPr>
          <w:szCs w:val="24"/>
        </w:rPr>
      </w:pPr>
      <w:r>
        <w:rPr>
          <w:noProof/>
          <w:szCs w:val="24"/>
          <w:lang w:eastAsia="en-GB"/>
        </w:rPr>
        <w:lastRenderedPageBreak/>
        <w:drawing>
          <wp:inline distT="0" distB="0" distL="0" distR="0">
            <wp:extent cx="5760720" cy="69392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9_Ckd2overexpr_Bistabilit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939280"/>
                    </a:xfrm>
                    <a:prstGeom prst="rect">
                      <a:avLst/>
                    </a:prstGeom>
                  </pic:spPr>
                </pic:pic>
              </a:graphicData>
            </a:graphic>
          </wp:inline>
        </w:drawing>
      </w:r>
    </w:p>
    <w:p w:rsidR="008415F4" w:rsidRDefault="00CF2F91" w:rsidP="008415F4">
      <w:pPr>
        <w:autoSpaceDE w:val="0"/>
        <w:autoSpaceDN w:val="0"/>
        <w:adjustRightInd w:val="0"/>
        <w:rPr>
          <w:szCs w:val="24"/>
        </w:rPr>
      </w:pPr>
      <w:r w:rsidRPr="009D521F">
        <w:rPr>
          <w:b/>
        </w:rPr>
        <w:t>Figure S</w:t>
      </w:r>
      <w:r w:rsidR="00F31B2E">
        <w:rPr>
          <w:b/>
        </w:rPr>
        <w:t>9</w:t>
      </w:r>
      <w:r>
        <w:t xml:space="preserve">: G1-S arrest 1 day after 10 Gy IR with p21 silencing and Cdk2 overexpression. </w:t>
      </w:r>
      <w:r w:rsidRPr="008A4D5F">
        <w:rPr>
          <w:b/>
        </w:rPr>
        <w:t>A</w:t>
      </w:r>
      <w:r>
        <w:t xml:space="preserve">) Measured </w:t>
      </w:r>
      <w:r>
        <w:rPr>
          <w:szCs w:val="24"/>
        </w:rPr>
        <w:t xml:space="preserve">(mean </w:t>
      </w:r>
      <w:r>
        <w:rPr>
          <w:rFonts w:cs="Arial"/>
          <w:szCs w:val="24"/>
        </w:rPr>
        <w:t>±</w:t>
      </w:r>
      <w:r>
        <w:rPr>
          <w:szCs w:val="24"/>
        </w:rPr>
        <w:t xml:space="preserve"> SEM </w:t>
      </w:r>
      <w:r>
        <w:t>(n≥3)) and predicted EdU incorporation as a function of p21 abundance. Open squares: Measured EdU incorporation upon dose dependent p21 silencing (grey lines indicate according steady state simulations). Closed squares:</w:t>
      </w:r>
      <w:r w:rsidRPr="00C95566">
        <w:t xml:space="preserve"> </w:t>
      </w:r>
      <w:r>
        <w:t>Measured EdU incorporation upon dose dependent p2</w:t>
      </w:r>
      <w:bookmarkStart w:id="1" w:name="_GoBack"/>
      <w:bookmarkEnd w:id="1"/>
      <w:r>
        <w:t xml:space="preserve">1 silencing and concomitant Cdk2 overexpression (black lines indicate corresponding steady state simulations). Measured and simulated EdU incorporation are relative to control. The simulated steady state EdU levels where scaled to the measured EdU levels of the p21 silencing experiments </w:t>
      </w:r>
      <w:r w:rsidRPr="009D521F">
        <w:t>(B)</w:t>
      </w:r>
      <w:r>
        <w:t xml:space="preserve"> by a factor of 0.45, because we observed significantly lower EdU incorporation rates even when p21 was completely silenced (1d sip21 15nM). </w:t>
      </w:r>
      <w:r w:rsidRPr="00D25C9B">
        <w:rPr>
          <w:b/>
        </w:rPr>
        <w:t>Inset</w:t>
      </w:r>
      <w:r>
        <w:t xml:space="preserve">: Here, we assumed that measured EdU incorporation are saturating with simulated </w:t>
      </w:r>
      <w:r w:rsidRPr="009C403F">
        <w:rPr>
          <w:i/>
        </w:rPr>
        <w:t>Cdk2-a</w:t>
      </w:r>
      <w:r>
        <w:t xml:space="preserve"> levels. We also scaled the simulated p21 levels to the </w:t>
      </w:r>
      <w:r>
        <w:lastRenderedPageBreak/>
        <w:t xml:space="preserve">measured ones (C) by a factor of 0.44. </w:t>
      </w:r>
      <w:r w:rsidRPr="00C95566">
        <w:rPr>
          <w:b/>
        </w:rPr>
        <w:t>B</w:t>
      </w:r>
      <w:r>
        <w:t xml:space="preserve">) Measured EdU incorporation </w:t>
      </w:r>
      <w:r>
        <w:rPr>
          <w:szCs w:val="24"/>
        </w:rPr>
        <w:t xml:space="preserve">(mean </w:t>
      </w:r>
      <w:r>
        <w:rPr>
          <w:rFonts w:cs="Arial"/>
          <w:szCs w:val="24"/>
        </w:rPr>
        <w:t>±</w:t>
      </w:r>
      <w:r>
        <w:rPr>
          <w:szCs w:val="24"/>
        </w:rPr>
        <w:t xml:space="preserve"> SEM </w:t>
      </w:r>
      <w:r>
        <w:t>(n≥3)) after p21 silencing (sip21) and Cdk2 overexpression (Cdk2+). Values are scaled to the p21 silencing control experiment.</w:t>
      </w:r>
      <w:r w:rsidRPr="00D25C9B">
        <w:rPr>
          <w:b/>
        </w:rPr>
        <w:t xml:space="preserve"> </w:t>
      </w:r>
      <w:r>
        <w:rPr>
          <w:b/>
        </w:rPr>
        <w:t>C</w:t>
      </w:r>
      <w:r>
        <w:t xml:space="preserve">) Measured p21 </w:t>
      </w:r>
      <w:r>
        <w:rPr>
          <w:szCs w:val="24"/>
        </w:rPr>
        <w:t xml:space="preserve">(mean </w:t>
      </w:r>
      <w:r>
        <w:rPr>
          <w:rFonts w:cs="Arial"/>
          <w:szCs w:val="24"/>
        </w:rPr>
        <w:t>±</w:t>
      </w:r>
      <w:r>
        <w:rPr>
          <w:szCs w:val="24"/>
        </w:rPr>
        <w:t xml:space="preserve"> SEM </w:t>
      </w:r>
      <w:r>
        <w:t>(n≥3)) after p21 silencing (sip21) and Cdk2 overexpression (Cdk2+). Values are scaled to the p21 silencing control experiment.</w:t>
      </w:r>
      <w:r w:rsidRPr="00D25C9B">
        <w:rPr>
          <w:b/>
        </w:rPr>
        <w:t xml:space="preserve"> </w:t>
      </w:r>
      <w:r>
        <w:rPr>
          <w:b/>
        </w:rPr>
        <w:t>D</w:t>
      </w:r>
      <w:r>
        <w:t xml:space="preserve">) Measured Cdk2 </w:t>
      </w:r>
      <w:r>
        <w:rPr>
          <w:szCs w:val="24"/>
        </w:rPr>
        <w:t xml:space="preserve">(mean </w:t>
      </w:r>
      <w:r>
        <w:rPr>
          <w:rFonts w:cs="Arial"/>
          <w:szCs w:val="24"/>
        </w:rPr>
        <w:t>±</w:t>
      </w:r>
      <w:r>
        <w:rPr>
          <w:szCs w:val="24"/>
        </w:rPr>
        <w:t xml:space="preserve"> SEM </w:t>
      </w:r>
      <w:r>
        <w:t xml:space="preserve">(n≥3)) after p21 silencing (sip21) and Cdk2 overexpression (Cdk2+). Values are scaled to the p21 silencing control experiment. </w:t>
      </w:r>
      <w:r w:rsidR="008415F4">
        <w:rPr>
          <w:b/>
          <w:szCs w:val="24"/>
        </w:rPr>
        <w:t>E</w:t>
      </w:r>
      <w:r w:rsidR="008415F4">
        <w:rPr>
          <w:szCs w:val="24"/>
        </w:rPr>
        <w:t xml:space="preserve">) </w:t>
      </w:r>
      <w:proofErr w:type="gramStart"/>
      <w:r w:rsidR="008415F4">
        <w:rPr>
          <w:szCs w:val="24"/>
        </w:rPr>
        <w:t>representative</w:t>
      </w:r>
      <w:proofErr w:type="gramEnd"/>
      <w:r w:rsidR="008415F4">
        <w:rPr>
          <w:szCs w:val="24"/>
        </w:rPr>
        <w:t xml:space="preserve"> western blot demonstrating validation of the p21 silencing  in control MRC5 cells and in MRC5 cells with Cdk2 overexpression.</w:t>
      </w:r>
    </w:p>
    <w:p w:rsidR="00332A5C" w:rsidRDefault="00332A5C" w:rsidP="00332A5C"/>
    <w:p w:rsidR="00972C28" w:rsidRDefault="00972C28" w:rsidP="00332A5C"/>
    <w:p w:rsidR="00972C28" w:rsidRPr="00332A5C" w:rsidRDefault="00972C28" w:rsidP="00332A5C"/>
    <w:sectPr w:rsidR="00972C28" w:rsidRPr="00332A5C" w:rsidSect="00A64592">
      <w:headerReference w:type="default" r:id="rId12"/>
      <w:pgSz w:w="11906" w:h="16838"/>
      <w:pgMar w:top="1417" w:right="1417" w:bottom="1134" w:left="1417"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F91" w:rsidRDefault="00CF2F91" w:rsidP="00A64592">
      <w:r>
        <w:separator/>
      </w:r>
    </w:p>
  </w:endnote>
  <w:endnote w:type="continuationSeparator" w:id="0">
    <w:p w:rsidR="00CF2F91" w:rsidRDefault="00CF2F91" w:rsidP="00A64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F91" w:rsidRDefault="00CF2F91" w:rsidP="00A64592">
      <w:r>
        <w:separator/>
      </w:r>
    </w:p>
  </w:footnote>
  <w:footnote w:type="continuationSeparator" w:id="0">
    <w:p w:rsidR="00CF2F91" w:rsidRDefault="00CF2F91" w:rsidP="00A64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100247"/>
      <w:docPartObj>
        <w:docPartGallery w:val="Page Numbers (Top of Page)"/>
        <w:docPartUnique/>
      </w:docPartObj>
    </w:sdtPr>
    <w:sdtEndPr/>
    <w:sdtContent>
      <w:p w:rsidR="00A64592" w:rsidRDefault="00970C33">
        <w:pPr>
          <w:pStyle w:val="Kopfzeile"/>
          <w:jc w:val="right"/>
        </w:pPr>
        <w:r>
          <w:fldChar w:fldCharType="begin"/>
        </w:r>
        <w:r w:rsidR="00A64592">
          <w:instrText>PAGE   \* MERGEFORMAT</w:instrText>
        </w:r>
        <w:r>
          <w:fldChar w:fldCharType="separate"/>
        </w:r>
        <w:r w:rsidR="008415F4">
          <w:rPr>
            <w:noProof/>
          </w:rPr>
          <w:t>2</w:t>
        </w:r>
        <w:r>
          <w:fldChar w:fldCharType="end"/>
        </w:r>
      </w:p>
    </w:sdtContent>
  </w:sdt>
  <w:p w:rsidR="00A64592" w:rsidRDefault="00A6459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F2F91"/>
    <w:rsid w:val="0002523A"/>
    <w:rsid w:val="000714BF"/>
    <w:rsid w:val="000D74B9"/>
    <w:rsid w:val="001278BC"/>
    <w:rsid w:val="001F267A"/>
    <w:rsid w:val="00236B3B"/>
    <w:rsid w:val="0031304D"/>
    <w:rsid w:val="00332A5C"/>
    <w:rsid w:val="00346BE0"/>
    <w:rsid w:val="00376232"/>
    <w:rsid w:val="004F4649"/>
    <w:rsid w:val="007F45D7"/>
    <w:rsid w:val="008415F4"/>
    <w:rsid w:val="00970C33"/>
    <w:rsid w:val="00972C28"/>
    <w:rsid w:val="00A64592"/>
    <w:rsid w:val="00AA3C33"/>
    <w:rsid w:val="00B15BBA"/>
    <w:rsid w:val="00B842BD"/>
    <w:rsid w:val="00CD7994"/>
    <w:rsid w:val="00CF2F91"/>
    <w:rsid w:val="00D72E6D"/>
    <w:rsid w:val="00DB0025"/>
    <w:rsid w:val="00F31B2E"/>
    <w:rsid w:val="00FF0ED6"/>
    <w:rsid w:val="00FF4B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F2F91"/>
    <w:pPr>
      <w:spacing w:after="120" w:line="276" w:lineRule="auto"/>
      <w:jc w:val="both"/>
    </w:pPr>
    <w:rPr>
      <w:rFonts w:ascii="Arial" w:hAnsi="Arial"/>
      <w:sz w:val="22"/>
      <w:lang w:val="en-GB"/>
    </w:rPr>
  </w:style>
  <w:style w:type="paragraph" w:styleId="berschrift3">
    <w:name w:val="heading 3"/>
    <w:basedOn w:val="Standard"/>
    <w:next w:val="Standard"/>
    <w:link w:val="berschrift3Zchn"/>
    <w:autoRedefine/>
    <w:qFormat/>
    <w:rsid w:val="00CF2F91"/>
    <w:pPr>
      <w:keepNext/>
      <w:spacing w:before="120"/>
      <w:outlineLvl w:val="2"/>
    </w:pPr>
    <w:rPr>
      <w:rFonts w:cs="Arial"/>
      <w:b/>
      <w:bCs/>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64592"/>
    <w:pPr>
      <w:tabs>
        <w:tab w:val="center" w:pos="4536"/>
        <w:tab w:val="right" w:pos="9072"/>
      </w:tabs>
      <w:spacing w:after="0" w:line="240" w:lineRule="auto"/>
      <w:jc w:val="left"/>
    </w:pPr>
    <w:rPr>
      <w:rFonts w:ascii="Lucida Sans" w:hAnsi="Lucida Sans"/>
      <w:lang w:val="de-DE"/>
    </w:rPr>
  </w:style>
  <w:style w:type="character" w:customStyle="1" w:styleId="KopfzeileZchn">
    <w:name w:val="Kopfzeile Zchn"/>
    <w:basedOn w:val="Absatz-Standardschriftart"/>
    <w:link w:val="Kopfzeile"/>
    <w:uiPriority w:val="99"/>
    <w:rsid w:val="00A64592"/>
    <w:rPr>
      <w:rFonts w:ascii="Lucida Sans" w:hAnsi="Lucida Sans"/>
      <w:sz w:val="22"/>
    </w:rPr>
  </w:style>
  <w:style w:type="paragraph" w:styleId="Fuzeile">
    <w:name w:val="footer"/>
    <w:basedOn w:val="Standard"/>
    <w:link w:val="FuzeileZchn"/>
    <w:rsid w:val="00A64592"/>
    <w:pPr>
      <w:tabs>
        <w:tab w:val="center" w:pos="4536"/>
        <w:tab w:val="right" w:pos="9072"/>
      </w:tabs>
      <w:spacing w:after="0" w:line="240" w:lineRule="auto"/>
      <w:jc w:val="left"/>
    </w:pPr>
    <w:rPr>
      <w:rFonts w:ascii="Lucida Sans" w:hAnsi="Lucida Sans"/>
      <w:lang w:val="de-DE"/>
    </w:rPr>
  </w:style>
  <w:style w:type="character" w:customStyle="1" w:styleId="FuzeileZchn">
    <w:name w:val="Fußzeile Zchn"/>
    <w:basedOn w:val="Absatz-Standardschriftart"/>
    <w:link w:val="Fuzeile"/>
    <w:rsid w:val="00A64592"/>
    <w:rPr>
      <w:rFonts w:ascii="Lucida Sans" w:hAnsi="Lucida Sans"/>
      <w:sz w:val="22"/>
    </w:rPr>
  </w:style>
  <w:style w:type="character" w:customStyle="1" w:styleId="berschrift3Zchn">
    <w:name w:val="Überschrift 3 Zchn"/>
    <w:basedOn w:val="Absatz-Standardschriftart"/>
    <w:link w:val="berschrift3"/>
    <w:rsid w:val="00CF2F91"/>
    <w:rPr>
      <w:rFonts w:ascii="Arial" w:hAnsi="Arial" w:cs="Arial"/>
      <w:b/>
      <w:bCs/>
      <w:sz w:val="28"/>
      <w:szCs w:val="26"/>
      <w:lang w:val="en-GB"/>
    </w:rPr>
  </w:style>
  <w:style w:type="paragraph" w:styleId="Sprechblasentext">
    <w:name w:val="Balloon Text"/>
    <w:basedOn w:val="Standard"/>
    <w:link w:val="SprechblasentextZchn"/>
    <w:rsid w:val="00CF2F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F2F91"/>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F2F91"/>
    <w:pPr>
      <w:spacing w:after="120" w:line="276" w:lineRule="auto"/>
      <w:jc w:val="both"/>
    </w:pPr>
    <w:rPr>
      <w:rFonts w:ascii="Arial" w:hAnsi="Arial"/>
      <w:sz w:val="22"/>
      <w:lang w:val="en-GB"/>
    </w:rPr>
  </w:style>
  <w:style w:type="paragraph" w:styleId="berschrift3">
    <w:name w:val="heading 3"/>
    <w:basedOn w:val="Standard"/>
    <w:next w:val="Standard"/>
    <w:link w:val="berschrift3Zchn"/>
    <w:autoRedefine/>
    <w:qFormat/>
    <w:rsid w:val="00CF2F91"/>
    <w:pPr>
      <w:keepNext/>
      <w:spacing w:before="120"/>
      <w:outlineLvl w:val="2"/>
    </w:pPr>
    <w:rPr>
      <w:rFonts w:cs="Arial"/>
      <w:b/>
      <w:bCs/>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64592"/>
    <w:pPr>
      <w:tabs>
        <w:tab w:val="center" w:pos="4536"/>
        <w:tab w:val="right" w:pos="9072"/>
      </w:tabs>
      <w:spacing w:after="0" w:line="240" w:lineRule="auto"/>
      <w:jc w:val="left"/>
    </w:pPr>
    <w:rPr>
      <w:rFonts w:ascii="Lucida Sans" w:hAnsi="Lucida Sans"/>
      <w:lang w:val="de-DE"/>
    </w:rPr>
  </w:style>
  <w:style w:type="character" w:customStyle="1" w:styleId="KopfzeileZchn">
    <w:name w:val="Kopfzeile Zchn"/>
    <w:basedOn w:val="Absatz-Standardschriftart"/>
    <w:link w:val="Kopfzeile"/>
    <w:uiPriority w:val="99"/>
    <w:rsid w:val="00A64592"/>
    <w:rPr>
      <w:rFonts w:ascii="Lucida Sans" w:hAnsi="Lucida Sans"/>
      <w:sz w:val="22"/>
    </w:rPr>
  </w:style>
  <w:style w:type="paragraph" w:styleId="Fuzeile">
    <w:name w:val="footer"/>
    <w:basedOn w:val="Standard"/>
    <w:link w:val="FuzeileZchn"/>
    <w:rsid w:val="00A64592"/>
    <w:pPr>
      <w:tabs>
        <w:tab w:val="center" w:pos="4536"/>
        <w:tab w:val="right" w:pos="9072"/>
      </w:tabs>
      <w:spacing w:after="0" w:line="240" w:lineRule="auto"/>
      <w:jc w:val="left"/>
    </w:pPr>
    <w:rPr>
      <w:rFonts w:ascii="Lucida Sans" w:hAnsi="Lucida Sans"/>
      <w:lang w:val="de-DE"/>
    </w:rPr>
  </w:style>
  <w:style w:type="character" w:customStyle="1" w:styleId="FuzeileZchn">
    <w:name w:val="Fußzeile Zchn"/>
    <w:basedOn w:val="Absatz-Standardschriftart"/>
    <w:link w:val="Fuzeile"/>
    <w:rsid w:val="00A64592"/>
    <w:rPr>
      <w:rFonts w:ascii="Lucida Sans" w:hAnsi="Lucida Sans"/>
      <w:sz w:val="22"/>
    </w:rPr>
  </w:style>
  <w:style w:type="character" w:customStyle="1" w:styleId="berschrift3Zchn">
    <w:name w:val="Überschrift 3 Zchn"/>
    <w:basedOn w:val="Absatz-Standardschriftart"/>
    <w:link w:val="berschrift3"/>
    <w:rsid w:val="00CF2F91"/>
    <w:rPr>
      <w:rFonts w:ascii="Arial" w:hAnsi="Arial" w:cs="Arial"/>
      <w:b/>
      <w:bCs/>
      <w:sz w:val="28"/>
      <w:szCs w:val="26"/>
      <w:lang w:val="en-GB"/>
    </w:rPr>
  </w:style>
  <w:style w:type="paragraph" w:styleId="Sprechblasentext">
    <w:name w:val="Balloon Text"/>
    <w:basedOn w:val="Standard"/>
    <w:link w:val="SprechblasentextZchn"/>
    <w:rsid w:val="00CF2F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F2F91"/>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D2A56180</Template>
  <TotalTime>0</TotalTime>
  <Pages>6</Pages>
  <Words>493</Words>
  <Characters>2629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Normal.dot</vt:lpstr>
    </vt:vector>
  </TitlesOfParts>
  <Company/>
  <LinksUpToDate>false</LinksUpToDate>
  <CharactersWithSpaces>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Schaber, Jörg</dc:creator>
  <cp:lastModifiedBy>Schaber, Jörg</cp:lastModifiedBy>
  <cp:revision>14</cp:revision>
  <dcterms:created xsi:type="dcterms:W3CDTF">2015-09-17T15:10:00Z</dcterms:created>
  <dcterms:modified xsi:type="dcterms:W3CDTF">2016-01-11T08:32:00Z</dcterms:modified>
</cp:coreProperties>
</file>